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64" w:rsidRPr="00C64102" w:rsidRDefault="00B73364" w:rsidP="00B40156">
      <w:pPr>
        <w:shd w:val="clear" w:color="auto" w:fill="FFFFFF" w:themeFill="background1"/>
      </w:pPr>
    </w:p>
    <w:p w:rsidR="00E53364" w:rsidRDefault="00E53364"/>
    <w:p w:rsidR="00E53364" w:rsidRDefault="00E53364"/>
    <w:p w:rsidR="00E53364" w:rsidRDefault="00E53364"/>
    <w:p w:rsidR="00E53364" w:rsidRDefault="00E53364"/>
    <w:tbl>
      <w:tblPr>
        <w:tblW w:w="1489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7170"/>
        <w:gridCol w:w="1440"/>
        <w:gridCol w:w="2055"/>
        <w:gridCol w:w="2025"/>
        <w:gridCol w:w="1710"/>
      </w:tblGrid>
      <w:tr w:rsidR="00E53364" w:rsidRPr="00C64102" w:rsidTr="00B40156">
        <w:trPr>
          <w:trHeight w:val="540"/>
        </w:trPr>
        <w:tc>
          <w:tcPr>
            <w:tcW w:w="495" w:type="dxa"/>
            <w:shd w:val="clear" w:color="auto" w:fill="E36C0A" w:themeFill="accent6" w:themeFillShade="BF"/>
          </w:tcPr>
          <w:p w:rsidR="00E53364" w:rsidRPr="00C64102" w:rsidRDefault="00C81C2A" w:rsidP="00E53364">
            <w:pPr>
              <w:ind w:left="39"/>
              <w:rPr>
                <w:b/>
                <w:szCs w:val="20"/>
              </w:rPr>
            </w:pPr>
            <w:r w:rsidRPr="00C64102">
              <w:rPr>
                <w:b/>
                <w:szCs w:val="20"/>
              </w:rPr>
              <w:t>№</w:t>
            </w:r>
          </w:p>
        </w:tc>
        <w:tc>
          <w:tcPr>
            <w:tcW w:w="7170" w:type="dxa"/>
            <w:shd w:val="clear" w:color="auto" w:fill="E36C0A" w:themeFill="accent6" w:themeFillShade="BF"/>
          </w:tcPr>
          <w:p w:rsidR="00E53364" w:rsidRPr="00C64102" w:rsidRDefault="00C81C2A" w:rsidP="00E53364">
            <w:pPr>
              <w:rPr>
                <w:b/>
                <w:szCs w:val="20"/>
              </w:rPr>
            </w:pPr>
            <w:r w:rsidRPr="00C64102">
              <w:rPr>
                <w:b/>
                <w:szCs w:val="20"/>
              </w:rPr>
              <w:t xml:space="preserve">                                    Наименование работ</w:t>
            </w:r>
          </w:p>
        </w:tc>
        <w:tc>
          <w:tcPr>
            <w:tcW w:w="1440" w:type="dxa"/>
            <w:shd w:val="clear" w:color="auto" w:fill="E36C0A" w:themeFill="accent6" w:themeFillShade="BF"/>
          </w:tcPr>
          <w:p w:rsidR="00E53364" w:rsidRPr="00C64102" w:rsidRDefault="00C81C2A" w:rsidP="00C81C2A">
            <w:pPr>
              <w:rPr>
                <w:b/>
                <w:szCs w:val="20"/>
              </w:rPr>
            </w:pPr>
            <w:proofErr w:type="spellStart"/>
            <w:r w:rsidRPr="00C64102">
              <w:rPr>
                <w:b/>
                <w:szCs w:val="20"/>
              </w:rPr>
              <w:t>Ед</w:t>
            </w:r>
            <w:proofErr w:type="gramStart"/>
            <w:r w:rsidRPr="00C64102">
              <w:rPr>
                <w:b/>
                <w:szCs w:val="20"/>
              </w:rPr>
              <w:t>.и</w:t>
            </w:r>
            <w:proofErr w:type="gramEnd"/>
            <w:r w:rsidRPr="00C64102">
              <w:rPr>
                <w:b/>
                <w:szCs w:val="20"/>
              </w:rPr>
              <w:t>зм</w:t>
            </w:r>
            <w:proofErr w:type="spellEnd"/>
          </w:p>
        </w:tc>
        <w:tc>
          <w:tcPr>
            <w:tcW w:w="2055" w:type="dxa"/>
            <w:shd w:val="clear" w:color="auto" w:fill="E36C0A" w:themeFill="accent6" w:themeFillShade="BF"/>
          </w:tcPr>
          <w:p w:rsidR="00E53364" w:rsidRPr="00C64102" w:rsidRDefault="00C81C2A" w:rsidP="00E53364">
            <w:pPr>
              <w:rPr>
                <w:b/>
                <w:szCs w:val="20"/>
              </w:rPr>
            </w:pPr>
            <w:r w:rsidRPr="00C64102">
              <w:rPr>
                <w:b/>
                <w:szCs w:val="20"/>
              </w:rPr>
              <w:t>Цена за единицу</w:t>
            </w:r>
          </w:p>
        </w:tc>
        <w:tc>
          <w:tcPr>
            <w:tcW w:w="2025" w:type="dxa"/>
            <w:shd w:val="clear" w:color="auto" w:fill="E36C0A" w:themeFill="accent6" w:themeFillShade="BF"/>
          </w:tcPr>
          <w:p w:rsidR="00E53364" w:rsidRPr="00C64102" w:rsidRDefault="00C81C2A" w:rsidP="00E53364">
            <w:pPr>
              <w:rPr>
                <w:b/>
                <w:szCs w:val="20"/>
              </w:rPr>
            </w:pPr>
            <w:r w:rsidRPr="00C64102">
              <w:rPr>
                <w:b/>
                <w:szCs w:val="20"/>
              </w:rPr>
              <w:t>Метраж фасада</w:t>
            </w:r>
          </w:p>
        </w:tc>
        <w:tc>
          <w:tcPr>
            <w:tcW w:w="1710" w:type="dxa"/>
            <w:shd w:val="clear" w:color="auto" w:fill="E36C0A" w:themeFill="accent6" w:themeFillShade="BF"/>
          </w:tcPr>
          <w:p w:rsidR="00E53364" w:rsidRPr="00C64102" w:rsidRDefault="00C81C2A" w:rsidP="00E53364">
            <w:pPr>
              <w:rPr>
                <w:b/>
                <w:szCs w:val="20"/>
              </w:rPr>
            </w:pPr>
            <w:r w:rsidRPr="00C64102">
              <w:rPr>
                <w:b/>
                <w:szCs w:val="20"/>
              </w:rPr>
              <w:t>итого</w:t>
            </w:r>
          </w:p>
        </w:tc>
      </w:tr>
      <w:tr w:rsidR="00E53364" w:rsidRPr="00C64102" w:rsidTr="00E53364">
        <w:trPr>
          <w:trHeight w:val="465"/>
        </w:trPr>
        <w:tc>
          <w:tcPr>
            <w:tcW w:w="495" w:type="dxa"/>
          </w:tcPr>
          <w:p w:rsidR="00E53364" w:rsidRDefault="00C81C2A" w:rsidP="00E53364">
            <w:pPr>
              <w:ind w:left="39"/>
            </w:pPr>
            <w:r>
              <w:t>1</w:t>
            </w:r>
          </w:p>
        </w:tc>
        <w:tc>
          <w:tcPr>
            <w:tcW w:w="7170" w:type="dxa"/>
          </w:tcPr>
          <w:p w:rsidR="00E53364" w:rsidRDefault="00C81C2A" w:rsidP="00E53364">
            <w:r>
              <w:t xml:space="preserve">Удаление </w:t>
            </w:r>
            <w:proofErr w:type="spellStart"/>
            <w:r>
              <w:t>диструктивных</w:t>
            </w:r>
            <w:proofErr w:type="spellEnd"/>
            <w:r>
              <w:t xml:space="preserve"> и  </w:t>
            </w:r>
            <w:proofErr w:type="spellStart"/>
            <w:r>
              <w:t>слабодержащих</w:t>
            </w:r>
            <w:proofErr w:type="spellEnd"/>
            <w:r>
              <w:t xml:space="preserve"> штукатурных основ по швам фасада</w:t>
            </w:r>
            <w:proofErr w:type="gramStart"/>
            <w:r>
              <w:t xml:space="preserve"> ,</w:t>
            </w:r>
            <w:proofErr w:type="gramEnd"/>
            <w:r>
              <w:t xml:space="preserve"> оконным проемам и плоскостям</w:t>
            </w:r>
          </w:p>
        </w:tc>
        <w:tc>
          <w:tcPr>
            <w:tcW w:w="1440" w:type="dxa"/>
          </w:tcPr>
          <w:p w:rsidR="00E53364" w:rsidRDefault="00C81C2A" w:rsidP="00E53364"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2055" w:type="dxa"/>
          </w:tcPr>
          <w:p w:rsidR="00E53364" w:rsidRDefault="00174D7D" w:rsidP="00E53364">
            <w:r>
              <w:t xml:space="preserve">20 </w:t>
            </w:r>
            <w:proofErr w:type="spellStart"/>
            <w:r>
              <w:t>руб</w:t>
            </w:r>
            <w:proofErr w:type="spellEnd"/>
          </w:p>
        </w:tc>
        <w:tc>
          <w:tcPr>
            <w:tcW w:w="2025" w:type="dxa"/>
          </w:tcPr>
          <w:p w:rsidR="00E53364" w:rsidRDefault="00DC7940" w:rsidP="00E53364">
            <w:r>
              <w:t>1040 кв</w:t>
            </w:r>
            <w:proofErr w:type="gramStart"/>
            <w:r>
              <w:t>.м</w:t>
            </w:r>
            <w:proofErr w:type="gramEnd"/>
          </w:p>
        </w:tc>
        <w:tc>
          <w:tcPr>
            <w:tcW w:w="1710" w:type="dxa"/>
          </w:tcPr>
          <w:p w:rsidR="00E53364" w:rsidRDefault="00DC7940" w:rsidP="00E53364">
            <w:r>
              <w:t xml:space="preserve">20.800 </w:t>
            </w:r>
            <w:proofErr w:type="spellStart"/>
            <w:r>
              <w:t>руб</w:t>
            </w:r>
            <w:proofErr w:type="spellEnd"/>
          </w:p>
        </w:tc>
      </w:tr>
      <w:tr w:rsidR="00E53364" w:rsidRPr="00C64102" w:rsidTr="00E53364">
        <w:trPr>
          <w:trHeight w:val="450"/>
        </w:trPr>
        <w:tc>
          <w:tcPr>
            <w:tcW w:w="495" w:type="dxa"/>
          </w:tcPr>
          <w:p w:rsidR="00E53364" w:rsidRDefault="00C81C2A" w:rsidP="00E53364">
            <w:pPr>
              <w:ind w:left="39"/>
            </w:pPr>
            <w:r>
              <w:t>2</w:t>
            </w:r>
          </w:p>
        </w:tc>
        <w:tc>
          <w:tcPr>
            <w:tcW w:w="7170" w:type="dxa"/>
          </w:tcPr>
          <w:p w:rsidR="00E53364" w:rsidRDefault="00C81C2A" w:rsidP="00E53364">
            <w:r>
              <w:t xml:space="preserve">Удаление </w:t>
            </w:r>
            <w:proofErr w:type="spellStart"/>
            <w:r>
              <w:t>слабодержащего</w:t>
            </w:r>
            <w:proofErr w:type="spellEnd"/>
            <w:r>
              <w:t xml:space="preserve"> лакокрасочного покрытия по плоскости фасада и оконным проемам</w:t>
            </w:r>
          </w:p>
        </w:tc>
        <w:tc>
          <w:tcPr>
            <w:tcW w:w="1440" w:type="dxa"/>
          </w:tcPr>
          <w:p w:rsidR="00E53364" w:rsidRDefault="00C64102" w:rsidP="00E53364"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2055" w:type="dxa"/>
          </w:tcPr>
          <w:p w:rsidR="00E53364" w:rsidRDefault="00174D7D" w:rsidP="00E53364">
            <w:r>
              <w:t xml:space="preserve">20 </w:t>
            </w:r>
            <w:proofErr w:type="spellStart"/>
            <w:r>
              <w:t>руб</w:t>
            </w:r>
            <w:proofErr w:type="spellEnd"/>
          </w:p>
        </w:tc>
        <w:tc>
          <w:tcPr>
            <w:tcW w:w="2025" w:type="dxa"/>
          </w:tcPr>
          <w:p w:rsidR="00E53364" w:rsidRDefault="00DC7940" w:rsidP="00E53364">
            <w:r>
              <w:t>1040 кв</w:t>
            </w:r>
            <w:proofErr w:type="gramStart"/>
            <w:r>
              <w:t>.м</w:t>
            </w:r>
            <w:proofErr w:type="gramEnd"/>
          </w:p>
        </w:tc>
        <w:tc>
          <w:tcPr>
            <w:tcW w:w="1710" w:type="dxa"/>
          </w:tcPr>
          <w:p w:rsidR="00E53364" w:rsidRDefault="00DC7940" w:rsidP="00E53364">
            <w:r>
              <w:t xml:space="preserve">20.800 </w:t>
            </w:r>
            <w:proofErr w:type="spellStart"/>
            <w:r>
              <w:t>руб</w:t>
            </w:r>
            <w:proofErr w:type="spellEnd"/>
          </w:p>
        </w:tc>
      </w:tr>
      <w:tr w:rsidR="00E53364" w:rsidRPr="00C64102" w:rsidTr="00E53364">
        <w:trPr>
          <w:trHeight w:val="390"/>
        </w:trPr>
        <w:tc>
          <w:tcPr>
            <w:tcW w:w="495" w:type="dxa"/>
          </w:tcPr>
          <w:p w:rsidR="00E53364" w:rsidRDefault="00C81C2A" w:rsidP="00E53364">
            <w:pPr>
              <w:ind w:left="39"/>
            </w:pPr>
            <w:r>
              <w:t>3</w:t>
            </w:r>
          </w:p>
        </w:tc>
        <w:tc>
          <w:tcPr>
            <w:tcW w:w="7170" w:type="dxa"/>
          </w:tcPr>
          <w:p w:rsidR="00ED3596" w:rsidRDefault="00ED3596" w:rsidP="00ED3596">
            <w:proofErr w:type="spellStart"/>
            <w:r>
              <w:t>Обеспылевание</w:t>
            </w:r>
            <w:proofErr w:type="spellEnd"/>
            <w:r>
              <w:t xml:space="preserve">. Грунтовка.  </w:t>
            </w:r>
            <w:r w:rsidR="00C81C2A">
              <w:t>Заполнение и ремонт швов</w:t>
            </w:r>
            <w:r w:rsidR="00174D7D">
              <w:t>, трещин</w:t>
            </w:r>
            <w:r w:rsidR="00C81C2A">
              <w:t xml:space="preserve"> штукатурным раствором</w:t>
            </w:r>
            <w:proofErr w:type="gramStart"/>
            <w:r w:rsidR="00C81C2A">
              <w:t xml:space="preserve"> </w:t>
            </w:r>
            <w:r>
              <w:t xml:space="preserve"> ,</w:t>
            </w:r>
            <w:proofErr w:type="gramEnd"/>
            <w:r>
              <w:t xml:space="preserve"> перетирка                                                             </w:t>
            </w:r>
          </w:p>
        </w:tc>
        <w:tc>
          <w:tcPr>
            <w:tcW w:w="1440" w:type="dxa"/>
          </w:tcPr>
          <w:p w:rsidR="00E53364" w:rsidRDefault="00C64102" w:rsidP="00E53364"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2055" w:type="dxa"/>
          </w:tcPr>
          <w:p w:rsidR="00E53364" w:rsidRDefault="00174D7D" w:rsidP="00E53364">
            <w:r>
              <w:t xml:space="preserve">80 </w:t>
            </w:r>
            <w:proofErr w:type="spellStart"/>
            <w:r>
              <w:t>руб</w:t>
            </w:r>
            <w:proofErr w:type="spellEnd"/>
          </w:p>
        </w:tc>
        <w:tc>
          <w:tcPr>
            <w:tcW w:w="2025" w:type="dxa"/>
          </w:tcPr>
          <w:p w:rsidR="00E53364" w:rsidRDefault="00DC7940" w:rsidP="00E53364">
            <w:r>
              <w:t>1040 кв</w:t>
            </w:r>
            <w:proofErr w:type="gramStart"/>
            <w:r>
              <w:t>.м</w:t>
            </w:r>
            <w:proofErr w:type="gramEnd"/>
          </w:p>
        </w:tc>
        <w:tc>
          <w:tcPr>
            <w:tcW w:w="1710" w:type="dxa"/>
          </w:tcPr>
          <w:p w:rsidR="00E53364" w:rsidRDefault="00DC7940" w:rsidP="00E53364">
            <w:r>
              <w:t xml:space="preserve">83.200 </w:t>
            </w:r>
            <w:proofErr w:type="spellStart"/>
            <w:r>
              <w:t>руб</w:t>
            </w:r>
            <w:proofErr w:type="spellEnd"/>
          </w:p>
        </w:tc>
      </w:tr>
      <w:tr w:rsidR="00E53364" w:rsidRPr="00C64102" w:rsidTr="00E53364">
        <w:trPr>
          <w:trHeight w:val="420"/>
        </w:trPr>
        <w:tc>
          <w:tcPr>
            <w:tcW w:w="495" w:type="dxa"/>
          </w:tcPr>
          <w:p w:rsidR="00E53364" w:rsidRDefault="00ED3596" w:rsidP="00E53364">
            <w:pPr>
              <w:ind w:left="39"/>
            </w:pPr>
            <w:r>
              <w:t>4</w:t>
            </w:r>
          </w:p>
        </w:tc>
        <w:tc>
          <w:tcPr>
            <w:tcW w:w="7170" w:type="dxa"/>
          </w:tcPr>
          <w:p w:rsidR="00E53364" w:rsidRDefault="00ED3596" w:rsidP="00E53364">
            <w:r>
              <w:t xml:space="preserve">Грунтовка фасадных плоскостей и оконных </w:t>
            </w:r>
            <w:proofErr w:type="spellStart"/>
            <w:r>
              <w:t>проемов</w:t>
            </w:r>
            <w:proofErr w:type="gramStart"/>
            <w:r>
              <w:t>.П</w:t>
            </w:r>
            <w:proofErr w:type="gramEnd"/>
            <w:r>
              <w:t>одготовка</w:t>
            </w:r>
            <w:proofErr w:type="spellEnd"/>
            <w:r>
              <w:t xml:space="preserve"> к покраски</w:t>
            </w:r>
          </w:p>
        </w:tc>
        <w:tc>
          <w:tcPr>
            <w:tcW w:w="1440" w:type="dxa"/>
          </w:tcPr>
          <w:p w:rsidR="00E53364" w:rsidRDefault="00C64102" w:rsidP="00E53364"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2055" w:type="dxa"/>
          </w:tcPr>
          <w:p w:rsidR="00E53364" w:rsidRDefault="00174D7D" w:rsidP="00E53364">
            <w:r>
              <w:t xml:space="preserve">30 </w:t>
            </w:r>
            <w:proofErr w:type="spellStart"/>
            <w:r>
              <w:t>руб</w:t>
            </w:r>
            <w:proofErr w:type="spellEnd"/>
          </w:p>
        </w:tc>
        <w:tc>
          <w:tcPr>
            <w:tcW w:w="2025" w:type="dxa"/>
          </w:tcPr>
          <w:p w:rsidR="00E53364" w:rsidRDefault="00DC7940" w:rsidP="00E53364">
            <w:r>
              <w:t>1040 кв</w:t>
            </w:r>
            <w:proofErr w:type="gramStart"/>
            <w:r>
              <w:t>.м</w:t>
            </w:r>
            <w:proofErr w:type="gramEnd"/>
          </w:p>
        </w:tc>
        <w:tc>
          <w:tcPr>
            <w:tcW w:w="1710" w:type="dxa"/>
          </w:tcPr>
          <w:p w:rsidR="00E53364" w:rsidRDefault="00DC7940" w:rsidP="00E53364">
            <w:r>
              <w:t xml:space="preserve">31.200 </w:t>
            </w:r>
            <w:proofErr w:type="spellStart"/>
            <w:r>
              <w:t>руб</w:t>
            </w:r>
            <w:proofErr w:type="spellEnd"/>
          </w:p>
        </w:tc>
      </w:tr>
      <w:tr w:rsidR="00E53364" w:rsidRPr="00C64102" w:rsidTr="00E53364">
        <w:trPr>
          <w:trHeight w:val="420"/>
        </w:trPr>
        <w:tc>
          <w:tcPr>
            <w:tcW w:w="495" w:type="dxa"/>
          </w:tcPr>
          <w:p w:rsidR="00E53364" w:rsidRDefault="00ED3596" w:rsidP="00E53364">
            <w:pPr>
              <w:ind w:left="39"/>
            </w:pPr>
            <w:r>
              <w:t>5</w:t>
            </w:r>
          </w:p>
        </w:tc>
        <w:tc>
          <w:tcPr>
            <w:tcW w:w="7170" w:type="dxa"/>
          </w:tcPr>
          <w:p w:rsidR="00E53364" w:rsidRDefault="00ED3596" w:rsidP="00E53364">
            <w:r>
              <w:t>Покраска фасадных плоскостей и оконных проемов на 2 слоя</w:t>
            </w:r>
          </w:p>
        </w:tc>
        <w:tc>
          <w:tcPr>
            <w:tcW w:w="1440" w:type="dxa"/>
          </w:tcPr>
          <w:p w:rsidR="00E53364" w:rsidRDefault="00C64102" w:rsidP="00E53364"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2055" w:type="dxa"/>
          </w:tcPr>
          <w:p w:rsidR="00E53364" w:rsidRDefault="00174D7D" w:rsidP="00E53364">
            <w:r>
              <w:t xml:space="preserve">100 </w:t>
            </w:r>
            <w:proofErr w:type="spellStart"/>
            <w:r>
              <w:t>руб</w:t>
            </w:r>
            <w:proofErr w:type="spellEnd"/>
          </w:p>
        </w:tc>
        <w:tc>
          <w:tcPr>
            <w:tcW w:w="2025" w:type="dxa"/>
          </w:tcPr>
          <w:p w:rsidR="00E53364" w:rsidRDefault="00DC7940" w:rsidP="00E53364">
            <w:r>
              <w:t>1040 кв</w:t>
            </w:r>
            <w:proofErr w:type="gramStart"/>
            <w:r>
              <w:t>.м</w:t>
            </w:r>
            <w:proofErr w:type="gramEnd"/>
          </w:p>
        </w:tc>
        <w:tc>
          <w:tcPr>
            <w:tcW w:w="1710" w:type="dxa"/>
          </w:tcPr>
          <w:p w:rsidR="00E53364" w:rsidRDefault="00DC7940" w:rsidP="00E53364">
            <w:r>
              <w:t xml:space="preserve">104.000 </w:t>
            </w:r>
            <w:proofErr w:type="spellStart"/>
            <w:r>
              <w:t>руб</w:t>
            </w:r>
            <w:proofErr w:type="spellEnd"/>
          </w:p>
        </w:tc>
      </w:tr>
      <w:tr w:rsidR="00E53364" w:rsidRPr="00C64102" w:rsidTr="00E53364">
        <w:trPr>
          <w:trHeight w:val="390"/>
        </w:trPr>
        <w:tc>
          <w:tcPr>
            <w:tcW w:w="495" w:type="dxa"/>
          </w:tcPr>
          <w:p w:rsidR="00E53364" w:rsidRDefault="00ED3596" w:rsidP="00E53364">
            <w:pPr>
              <w:ind w:left="39"/>
            </w:pPr>
            <w:r>
              <w:t>6</w:t>
            </w:r>
          </w:p>
        </w:tc>
        <w:tc>
          <w:tcPr>
            <w:tcW w:w="7170" w:type="dxa"/>
          </w:tcPr>
          <w:p w:rsidR="00E53364" w:rsidRDefault="00ED3596" w:rsidP="00E53364">
            <w:r>
              <w:t>Уборка. Погрузка мусора в мешки и контейнер</w:t>
            </w:r>
          </w:p>
        </w:tc>
        <w:tc>
          <w:tcPr>
            <w:tcW w:w="1440" w:type="dxa"/>
          </w:tcPr>
          <w:p w:rsidR="00E53364" w:rsidRDefault="00C64102" w:rsidP="00E53364"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2055" w:type="dxa"/>
          </w:tcPr>
          <w:p w:rsidR="00E53364" w:rsidRDefault="00E53364" w:rsidP="00E53364"/>
        </w:tc>
        <w:tc>
          <w:tcPr>
            <w:tcW w:w="2025" w:type="dxa"/>
          </w:tcPr>
          <w:p w:rsidR="00E53364" w:rsidRDefault="00E53364" w:rsidP="00E53364"/>
        </w:tc>
        <w:tc>
          <w:tcPr>
            <w:tcW w:w="1710" w:type="dxa"/>
          </w:tcPr>
          <w:p w:rsidR="00E53364" w:rsidRDefault="00E53364" w:rsidP="00E53364"/>
        </w:tc>
      </w:tr>
    </w:tbl>
    <w:p w:rsidR="00DC7940" w:rsidRDefault="00174D7D" w:rsidP="00DC7940">
      <w:pPr>
        <w:tabs>
          <w:tab w:val="left" w:pos="9300"/>
          <w:tab w:val="left" w:pos="13365"/>
        </w:tabs>
      </w:pPr>
      <w:r>
        <w:tab/>
      </w:r>
      <w:r w:rsidR="00DC7940">
        <w:tab/>
        <w:t>260.000</w:t>
      </w:r>
    </w:p>
    <w:p w:rsidR="00E53364" w:rsidRPr="00174D7D" w:rsidRDefault="00174D7D" w:rsidP="00174D7D">
      <w:pPr>
        <w:tabs>
          <w:tab w:val="left" w:pos="9300"/>
        </w:tabs>
        <w:rPr>
          <w:color w:val="FF0000"/>
        </w:rPr>
      </w:pPr>
      <w:r w:rsidRPr="00174D7D">
        <w:rPr>
          <w:color w:val="FF0000"/>
        </w:rPr>
        <w:t xml:space="preserve">250 </w:t>
      </w:r>
      <w:proofErr w:type="spellStart"/>
      <w:r w:rsidRPr="00174D7D">
        <w:rPr>
          <w:color w:val="FF0000"/>
        </w:rPr>
        <w:t>руб</w:t>
      </w:r>
      <w:proofErr w:type="spellEnd"/>
      <w:r w:rsidR="00DC7940">
        <w:rPr>
          <w:color w:val="FF0000"/>
        </w:rPr>
        <w:t xml:space="preserve">  кв</w:t>
      </w:r>
      <w:proofErr w:type="gramStart"/>
      <w:r w:rsidR="00DC7940">
        <w:rPr>
          <w:color w:val="FF0000"/>
        </w:rPr>
        <w:t>.м</w:t>
      </w:r>
      <w:proofErr w:type="gramEnd"/>
      <w:r w:rsidR="00DC7940">
        <w:rPr>
          <w:color w:val="FF0000"/>
        </w:rPr>
        <w:t xml:space="preserve"> по фасаду</w:t>
      </w:r>
    </w:p>
    <w:sectPr w:rsidR="00E53364" w:rsidRPr="00174D7D" w:rsidSect="00E533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53364"/>
    <w:rsid w:val="000360C8"/>
    <w:rsid w:val="00062F68"/>
    <w:rsid w:val="00174D7D"/>
    <w:rsid w:val="002F790A"/>
    <w:rsid w:val="005F23E7"/>
    <w:rsid w:val="008D148D"/>
    <w:rsid w:val="00B40156"/>
    <w:rsid w:val="00B73364"/>
    <w:rsid w:val="00C64102"/>
    <w:rsid w:val="00C81C2A"/>
    <w:rsid w:val="00DB4993"/>
    <w:rsid w:val="00DC7940"/>
    <w:rsid w:val="00E53364"/>
    <w:rsid w:val="00ED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E53364"/>
    <w:pPr>
      <w:tabs>
        <w:tab w:val="decimal" w:pos="360"/>
      </w:tabs>
    </w:pPr>
    <w:rPr>
      <w:rFonts w:asciiTheme="minorHAnsi" w:eastAsiaTheme="minorEastAsia" w:hAnsiTheme="minorHAnsi"/>
      <w:sz w:val="22"/>
    </w:rPr>
  </w:style>
  <w:style w:type="paragraph" w:styleId="a3">
    <w:name w:val="footnote text"/>
    <w:basedOn w:val="a"/>
    <w:link w:val="a4"/>
    <w:uiPriority w:val="99"/>
    <w:unhideWhenUsed/>
    <w:rsid w:val="00E53364"/>
    <w:pPr>
      <w:spacing w:after="0" w:line="240" w:lineRule="auto"/>
    </w:pPr>
    <w:rPr>
      <w:rFonts w:asciiTheme="minorHAnsi" w:eastAsiaTheme="minorEastAsia" w:hAnsiTheme="minorHAnsi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53364"/>
    <w:rPr>
      <w:rFonts w:asciiTheme="minorHAnsi" w:eastAsiaTheme="minorEastAsia" w:hAnsiTheme="minorHAnsi"/>
      <w:szCs w:val="20"/>
    </w:rPr>
  </w:style>
  <w:style w:type="character" w:styleId="a5">
    <w:name w:val="Subtle Emphasis"/>
    <w:basedOn w:val="a0"/>
    <w:uiPriority w:val="19"/>
    <w:qFormat/>
    <w:rsid w:val="00E53364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2-5">
    <w:name w:val="Medium Shading 2 Accent 5"/>
    <w:basedOn w:val="a1"/>
    <w:uiPriority w:val="64"/>
    <w:rsid w:val="00E53364"/>
    <w:pPr>
      <w:spacing w:after="0" w:line="240" w:lineRule="auto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11</cp:revision>
  <dcterms:created xsi:type="dcterms:W3CDTF">2013-12-03T19:55:00Z</dcterms:created>
  <dcterms:modified xsi:type="dcterms:W3CDTF">2013-12-05T19:41:00Z</dcterms:modified>
</cp:coreProperties>
</file>